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Agency for Healthcare Research and Quality. “Health Literacy: Hidden Barriers and Practical Strategies.” AHRQ (website). Last modified April 7, 2020.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</w:pPr>
      <w:hyperlink xmlns:r="http://schemas.openxmlformats.org/officeDocument/2006/relationships" r:id="docRId0">
        <w:r>
          <w:rPr>
            <w:rFonts w:ascii="Arial" w:hAnsi="Arial" w:cs="Arial" w:eastAsia="Arial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https://www.ahrq.gov/health-literacy/improve/precautions/1stedition/tool3.html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Footnote citation: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“Health Literacy: Hidden Barriers and Practical Strategies,” AHRQ (website). Agency for Healthcare Research and Quality, last modified April 7, 2020.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</w:pPr>
      <w:hyperlink xmlns:r="http://schemas.openxmlformats.org/officeDocument/2006/relationships" r:id="docRId1">
        <w:r>
          <w:rPr>
            <w:rFonts w:ascii="Arial" w:hAnsi="Arial" w:cs="Arial" w:eastAsia="Arial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https://www.ahrq.gov/health-literacy/improve/precautions/1stedition/tool3.html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ahrq.gov/health-literacy/improve/precautions/1stedition/tool3.html" Id="docRId0" Type="http://schemas.openxmlformats.org/officeDocument/2006/relationships/hyperlink" /><Relationship TargetMode="External" Target="https://www.ahrq.gov/health-literacy/improve/precautions/1stedition/tool3.html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