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480" w:lineRule="auto"/>
        <w:contextualSpacing w:val="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ANALYSIS OF SOCIAL SCIENCE PARADIGMS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John S. Smith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SOC112: Sociology Basics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Professor Jane Rogers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/>
      </w:pPr>
      <w:r w:rsidDel="00000000" w:rsidR="00000000" w:rsidRPr="00000000">
        <w:rPr>
          <w:color w:val="000000"/>
          <w:rtl w:val="0"/>
        </w:rPr>
        <w:t xml:space="preserve">Havard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February 12, 2017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48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highlight w:val="white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highlight w:val="white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highlight w:val="white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highlight w:val="white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highlight w:val="white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highlight w:val="white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highlight w:val="white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highlight w:val="white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