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480" w:lineRule="auto"/>
        <w:ind w:left="709" w:hanging="70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>
      <w:pPr>
        <w:spacing w:after="0" w:line="480" w:lineRule="auto"/>
        <w:ind w:left="709" w:hanging="709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Columbus, L. (2016, March 16). Roundup of cloud computing forecasts and market estimates.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Forbes Magazine, 215,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1-3.</w:t>
      </w:r>
    </w:p>
    <w:p w:rsidR="00000000" w:rsidDel="00000000" w:rsidP="00000000" w:rsidRDefault="00000000" w:rsidRPr="00000000">
      <w:pPr>
        <w:spacing w:after="0" w:line="480" w:lineRule="auto"/>
        <w:ind w:left="709" w:hanging="709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Drewett, P. (2012).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Field archaeology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An introduction.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London, England: UCL Press.</w:t>
      </w:r>
    </w:p>
    <w:p w:rsidR="00000000" w:rsidDel="00000000" w:rsidP="00000000" w:rsidRDefault="00000000" w:rsidRPr="00000000">
      <w:pPr>
        <w:spacing w:after="0" w:line="480" w:lineRule="auto"/>
        <w:ind w:left="709" w:hanging="709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McNeil, A. J., Frey, R., &amp; Embrechts, P. (2015).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Quantitative risk management: Concepts, techniques and tools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Princeton, NJ: Princeton University Press.</w:t>
      </w:r>
    </w:p>
    <w:p w:rsidR="00000000" w:rsidDel="00000000" w:rsidP="00000000" w:rsidRDefault="00000000" w:rsidRPr="00000000">
      <w:pPr>
        <w:spacing w:after="0" w:line="480" w:lineRule="auto"/>
        <w:ind w:left="709" w:hanging="709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Preston, J. (n.d.).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John Preston on the Thorpe affair.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Retrieved from https://www.penguin.co.uk/articles/on-writing/why-i-write/2016/john-preston-on-the-thorpe-affair/</w:t>
      </w:r>
    </w:p>
    <w:p w:rsidR="00000000" w:rsidDel="00000000" w:rsidP="00000000" w:rsidRDefault="00000000" w:rsidRPr="00000000">
      <w:pPr>
        <w:spacing w:after="0" w:line="480" w:lineRule="auto"/>
        <w:ind w:left="709" w:hanging="709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U.S. Department of Health and Human Services. (2008).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2008 Physical activity guidelines for Americans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(NIH Publication No. U0036). Retrieved from </w:t>
      </w:r>
      <w:hyperlink r:id="rId5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none"/>
            <w:rtl w:val="0"/>
          </w:rPr>
          <w:t xml:space="preserve">https://health.gov/paguidelines/pdf/paguide.pdf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08" w:line="480" w:lineRule="auto"/>
      <w:contextualSpacing w:val="0"/>
    </w:pPr>
    <w:r w:rsidDel="00000000" w:rsidR="00000000" w:rsidRPr="00000000">
      <w:rPr>
        <w:rFonts w:ascii="Arial" w:cs="Arial" w:eastAsia="Arial" w:hAnsi="Arial"/>
        <w:sz w:val="24"/>
        <w:szCs w:val="24"/>
        <w:rtl w:val="0"/>
      </w:rPr>
      <w:t xml:space="preserve">Running head:  ANALYSIS OF SOCIAL SCIENCE PARADIGMS</w:t>
      <w:tab/>
      <w:tab/>
      <w:tab/>
    </w:r>
    <w:fldSimple w:instr="PAGE" w:fldLock="0" w:dirty="0">
      <w:r w:rsidDel="00000000" w:rsidR="00000000" w:rsidRPr="00000000">
        <w:rPr>
          <w:rFonts w:ascii="Arial" w:cs="Arial" w:eastAsia="Arial" w:hAnsi="Arial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health.gov/paguidelines/pdf/paguide.pdf" TargetMode="External"/><Relationship Id="rId6" Type="http://schemas.openxmlformats.org/officeDocument/2006/relationships/hyperlink" Target="https://health.gov/paguidelines/pdf/paguide.pdf" TargetMode="External"/><Relationship Id="rId7" Type="http://schemas.openxmlformats.org/officeDocument/2006/relationships/header" Target="header1.xml"/></Relationships>
</file>