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Reimann BP. Personality and social psychology research. New York: Nova Biomedial Books; 2008.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Robbins SP, Judge TA, Odendaal A, Roodt G. Organisational behaviour: Global and South African perspectives. Upper Saddle River: Pearson; 2009.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Johnson J, Nixon D, Stein G, Kaufmann A, George R, Powell, M, et al. Experimental medicine and its effects. New York: McGraw Hill Publishers; 2010.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 Thiele F, Mader K, Ashcroft, RE, editors. Bioethics in a small world. New York: Springer Science &amp; Business Media; 2006.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5. Roller MR, Lavrakas, PJ. Applied qualitative research design: a total quality framework approach. New York: The Gilford Press; 2015. [cited 2017 Jan 24]. Available from: Ebook Library.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