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DB1BF9" w:rsidRDefault="00DB1BF9" w:rsidP="00DB1BF9">
      <w:pPr>
        <w:pStyle w:val="1"/>
        <w:spacing w:after="340" w:line="331" w:lineRule="auto"/>
        <w:ind w:left="690"/>
        <w:rPr>
          <w:lang w:val="en-US"/>
        </w:rPr>
      </w:pPr>
      <w:r w:rsidRPr="00442235">
        <w:rPr>
          <w:sz w:val="24"/>
          <w:szCs w:val="24"/>
          <w:highlight w:val="white"/>
          <w:lang w:val="en-US"/>
        </w:rPr>
        <w:t>(White et al. 456)</w:t>
      </w:r>
      <w:bookmarkStart w:id="0" w:name="_GoBack"/>
      <w:bookmarkEnd w:id="0"/>
    </w:p>
    <w:sectPr w:rsidR="005B15A8" w:rsidRPr="00DB1BF9" w:rsidSect="00DB1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F9"/>
    <w:rsid w:val="005B15A8"/>
    <w:rsid w:val="00D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02DF"/>
  <w15:chartTrackingRefBased/>
  <w15:docId w15:val="{C453B244-C216-4305-845F-7212FED9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1BF9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2017-02-15T17:33:00Z</dcterms:created>
  <dcterms:modified xsi:type="dcterms:W3CDTF">2017-02-15T17:33:00Z</dcterms:modified>
</cp:coreProperties>
</file>