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671A97" w:rsidRDefault="00671A97" w:rsidP="00671A97">
      <w:pPr>
        <w:spacing w:line="480" w:lineRule="auto"/>
        <w:rPr>
          <w:rFonts w:ascii="Arial" w:hAnsi="Arial" w:cs="Arial"/>
          <w:sz w:val="24"/>
          <w:szCs w:val="24"/>
        </w:rPr>
      </w:pPr>
      <w:r w:rsidRPr="00671A97">
        <w:rPr>
          <w:rFonts w:ascii="Arial" w:hAnsi="Arial" w:cs="Arial"/>
          <w:sz w:val="24"/>
          <w:szCs w:val="24"/>
          <w:lang w:val="en-US"/>
        </w:rPr>
        <w:t>“Green’s study (1999) (cited in Farmer 2003, p. 13), unlike many of its predecessors, explores the “macro-</w:t>
      </w:r>
      <w:bookmarkStart w:id="0" w:name="_GoBack"/>
      <w:bookmarkEnd w:id="0"/>
      <w:r w:rsidRPr="00671A97">
        <w:rPr>
          <w:rFonts w:ascii="Arial" w:hAnsi="Arial" w:cs="Arial"/>
          <w:sz w:val="24"/>
          <w:szCs w:val="24"/>
          <w:lang w:val="en-US"/>
        </w:rPr>
        <w:t xml:space="preserve"> logics of power” without sacrificing ethnographic depth.”</w:t>
      </w:r>
      <w:r w:rsidRPr="00671A97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671A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12"/>
    <w:rsid w:val="00062815"/>
    <w:rsid w:val="00073C12"/>
    <w:rsid w:val="0048014D"/>
    <w:rsid w:val="00671A97"/>
    <w:rsid w:val="00675F14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53D3F-9D82-4FF8-A2C7-7CBFA04C6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2017-02-15T09:51:00Z</dcterms:created>
  <dcterms:modified xsi:type="dcterms:W3CDTF">2017-02-15T09:52:00Z</dcterms:modified>
</cp:coreProperties>
</file>