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160" w:line="331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Zhang, Qun. “Lean Six Sigma: A Literature Review.” 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Interdisciplinary Journal of Contemporary Research in Business</w:t>
      </w:r>
      <w:r w:rsidDel="00000000" w:rsidR="00000000" w:rsidRPr="00000000">
        <w:rPr>
          <w:sz w:val="24"/>
          <w:szCs w:val="24"/>
          <w:rtl w:val="0"/>
        </w:rPr>
        <w:t xml:space="preserve">, vol. 3, no. 10, 2012, pp. 599-605.</w:t>
      </w:r>
    </w:p>
    <w:p w:rsidR="00000000" w:rsidDel="00000000" w:rsidP="00000000" w:rsidRDefault="00000000" w:rsidRPr="00000000">
      <w:pPr>
        <w:widowControl w:val="0"/>
        <w:spacing w:after="160" w:line="331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“Understanding Benefits and Limitations of Six Sigma.” 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Journal of Scientific and Research Publications</w:t>
      </w:r>
      <w:r w:rsidDel="00000000" w:rsidR="00000000" w:rsidRPr="00000000">
        <w:rPr>
          <w:sz w:val="24"/>
          <w:szCs w:val="24"/>
          <w:rtl w:val="0"/>
        </w:rPr>
        <w:t xml:space="preserve">, vol. 2, no. 1, 2012, pp. 1-9.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