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9A" w:rsidRPr="00FF6D3A" w:rsidRDefault="00DE679A" w:rsidP="00DE679A">
      <w:pPr>
        <w:rPr>
          <w:rFonts w:cs="Arial"/>
          <w:color w:val="464646"/>
          <w:sz w:val="20"/>
          <w:szCs w:val="20"/>
          <w:shd w:val="clear" w:color="auto" w:fill="FFFFFF"/>
        </w:rPr>
      </w:pPr>
      <w:r w:rsidRPr="00FF6D3A">
        <w:rPr>
          <w:rFonts w:cs="Arial"/>
        </w:rPr>
        <w:t xml:space="preserve">15. Jones E, Shi L, </w:t>
      </w:r>
      <w:smartTag w:uri="urn:schemas-microsoft-com:office:smarttags" w:element="place">
        <w:smartTag w:uri="urn:schemas-microsoft-com:office:smarttags" w:element="City">
          <w:r w:rsidRPr="00FF6D3A">
            <w:rPr>
              <w:rFonts w:cs="Arial"/>
            </w:rPr>
            <w:t>Hayashi</w:t>
          </w:r>
        </w:smartTag>
        <w:r w:rsidRPr="00FF6D3A">
          <w:rPr>
            <w:rFonts w:cs="Arial"/>
          </w:rPr>
          <w:t xml:space="preserve"> </w:t>
        </w:r>
        <w:smartTag w:uri="urn:schemas-microsoft-com:office:smarttags" w:element="State">
          <w:r w:rsidRPr="00FF6D3A">
            <w:rPr>
              <w:rFonts w:cs="Arial"/>
            </w:rPr>
            <w:t>AS</w:t>
          </w:r>
        </w:smartTag>
      </w:smartTag>
      <w:r w:rsidRPr="00FF6D3A">
        <w:rPr>
          <w:rFonts w:cs="Arial"/>
        </w:rPr>
        <w:t>, Sharma R, Daly C, Ngo-Metzger Q. Access to oral health care: the role of federally qualified health centers in addressing disparities and expanding access. Am J Public Health. 2013 March;103(3): 488-493.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6"/>
    <w:rsid w:val="000260E6"/>
    <w:rsid w:val="00062815"/>
    <w:rsid w:val="0048014D"/>
    <w:rsid w:val="00675F14"/>
    <w:rsid w:val="009338AF"/>
    <w:rsid w:val="00CD7D4D"/>
    <w:rsid w:val="00D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BF2A-4EBF-4160-86F3-38A71D6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9A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2017-02-16T16:30:00Z</dcterms:created>
  <dcterms:modified xsi:type="dcterms:W3CDTF">2017-02-16T16:30:00Z</dcterms:modified>
</cp:coreProperties>
</file>