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B3" w:rsidRPr="00D356A8" w:rsidRDefault="00BD4EB3" w:rsidP="00BD4EB3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Institute of Chartered Accountants in Australia and New Zealand 2016, </w:t>
      </w:r>
      <w:r w:rsidRPr="00D356A8">
        <w:rPr>
          <w:i/>
          <w:lang w:val="en-US"/>
        </w:rPr>
        <w:t>AASB 128 investments in associates and joint ventures</w:t>
      </w:r>
      <w:r w:rsidRPr="00D356A8">
        <w:rPr>
          <w:lang w:val="en-US"/>
        </w:rPr>
        <w:t>, Pearson Education, Sydney.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4F"/>
    <w:rsid w:val="00062815"/>
    <w:rsid w:val="0048014D"/>
    <w:rsid w:val="00675F14"/>
    <w:rsid w:val="009338AF"/>
    <w:rsid w:val="00A06D4F"/>
    <w:rsid w:val="00BD4EB3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A32D-E496-4D57-90CA-967C05F9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4EB3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2017-02-15T09:34:00Z</dcterms:created>
  <dcterms:modified xsi:type="dcterms:W3CDTF">2017-02-15T09:34:00Z</dcterms:modified>
</cp:coreProperties>
</file>