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AF6EE4" w:rsidRDefault="00AF6EE4" w:rsidP="00AF6EE4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 xml:space="preserve">Eco, Umberto. </w:t>
      </w:r>
      <w:r w:rsidRPr="00442235">
        <w:rPr>
          <w:i/>
          <w:sz w:val="24"/>
          <w:szCs w:val="24"/>
          <w:highlight w:val="white"/>
          <w:lang w:val="en-US"/>
        </w:rPr>
        <w:t>The Prague Cemetery</w:t>
      </w:r>
      <w:r w:rsidRPr="00442235">
        <w:rPr>
          <w:sz w:val="24"/>
          <w:szCs w:val="24"/>
          <w:highlight w:val="white"/>
          <w:lang w:val="en-US"/>
        </w:rPr>
        <w:t>. Translated by Richard Dixon, Houghton Mifflin Harcourt Publishing Company, 2010.</w:t>
      </w:r>
    </w:p>
    <w:sectPr w:rsidR="005B15A8" w:rsidRPr="00AF6EE4" w:rsidSect="0061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4"/>
    <w:rsid w:val="005B15A8"/>
    <w:rsid w:val="006178C1"/>
    <w:rsid w:val="00A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6195-B262-4BEB-AAA7-9E5CE0A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6EE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2017-02-15T16:15:00Z</dcterms:created>
  <dcterms:modified xsi:type="dcterms:W3CDTF">2017-02-15T17:45:00Z</dcterms:modified>
</cp:coreProperties>
</file>