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340" w:line="331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Dufresnes, Christopher, et al. “Broad-Scale Genetic Diversity of Cannabis for Forensic Applications.”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PLoS ONE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vol. 12, no. 1, 2017, www.libguides.columbiansouthern.edu/ehost...789/. Accessed 20 Jan.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700" w:firstLine="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the article can also be found in print, it is necessary to mention the page numbers.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Dufresnes, Christopher, et al. “Broad-Scale Genetic Diversity of Cannabis forForensic Applications.”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PLoS ONE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vol. 12, no. 1, 2017, pp. 458-471, www.libguides.columbiansouthern.edu/ehost...789/. Accessed 20 Jan. 2017.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