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widowControl w:val="0"/>
        <w:spacing w:line="360" w:lineRule="auto"/>
        <w:ind w:left="709"/>
        <w:contextualSpacing w:val="0"/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Bohm, Andrew, and Dean Chaudri. </w:t>
      </w:r>
      <w:r w:rsidDel="00000000" w:rsidR="00000000" w:rsidRPr="00000000">
        <w:rPr>
          <w:i w:val="1"/>
          <w:sz w:val="24"/>
          <w:szCs w:val="24"/>
          <w:highlight w:val="white"/>
          <w:rtl w:val="0"/>
        </w:rPr>
        <w:t xml:space="preserve">Securing Australia’s Future: An Analysis of the International Education Markets in India.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Sydney: IDP Education Australia, 2000.</w:t>
      </w:r>
    </w:p>
    <w:p w:rsidR="00000000" w:rsidDel="00000000" w:rsidP="00000000" w:rsidRDefault="00000000" w:rsidRPr="00000000">
      <w:pPr>
        <w:widowControl w:val="0"/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360" w:lineRule="auto"/>
        <w:contextualSpacing w:val="0"/>
      </w:pPr>
      <w:r w:rsidDel="00000000" w:rsidR="00000000" w:rsidRPr="00000000">
        <w:rPr>
          <w:sz w:val="24"/>
          <w:szCs w:val="24"/>
          <w:highlight w:val="white"/>
          <w:u w:val="single"/>
          <w:rtl w:val="0"/>
        </w:rPr>
        <w:t xml:space="preserve">Footnote citation:</w:t>
      </w:r>
    </w:p>
    <w:p w:rsidR="00000000" w:rsidDel="00000000" w:rsidP="00000000" w:rsidRDefault="00000000" w:rsidRPr="00000000">
      <w:pPr>
        <w:widowControl w:val="0"/>
        <w:spacing w:line="360" w:lineRule="auto"/>
        <w:ind w:firstLine="709"/>
        <w:contextualSpacing w:val="0"/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1. Andrew Bohm and Dean Chaudri, </w:t>
      </w:r>
      <w:r w:rsidDel="00000000" w:rsidR="00000000" w:rsidRPr="00000000">
        <w:rPr>
          <w:i w:val="1"/>
          <w:sz w:val="24"/>
          <w:szCs w:val="24"/>
          <w:highlight w:val="white"/>
          <w:rtl w:val="0"/>
        </w:rPr>
        <w:t xml:space="preserve">Securing Australia’s Future: an Analysis of the International Education Markets in India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(Sydney: IDP Education Australia, 2000), 33-55.</w:t>
      </w:r>
    </w:p>
    <w:p w:rsidR="00000000" w:rsidDel="00000000" w:rsidP="00000000" w:rsidRDefault="00000000" w:rsidRPr="00000000">
      <w:pPr>
        <w:widowControl w:val="0"/>
        <w:spacing w:line="360" w:lineRule="auto"/>
        <w:ind w:firstLine="709"/>
        <w:contextualSpacing w:val="0"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