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Fetherston, Trevor.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Becoming an Effective Teacher.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Victoria: Thomson Learning, 2007.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Trevor Fetherston,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Becoming an Effective Teacher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(Victoria: Thomson Learning, 2007), 33.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