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ind w:left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Reamer, Frederic G. Foreword to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Social Justice and Social Work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edited by Michael J. Austin, xiii-xv. Los Angeles: Sage, 2014.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Frederic G. Reamer, foreword to 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Social Justice and Social Work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ed. Michael J. Austin (Los Angeles: Sage, 2014), xiv.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