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Taubman, M. (2015).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psychoanalytic vision: The experiencing subject, transcendence and the therapeutic process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[EBSCO NetLibrary version]. Retrieved from </w:t>
      </w:r>
      <w:hyperlink r:id="rId5">
        <w:r w:rsidDel="00000000" w:rsidR="00000000" w:rsidRPr="00000000">
          <w:rPr>
            <w:sz w:val="24"/>
            <w:szCs w:val="24"/>
            <w:highlight w:val="white"/>
            <w:u w:val="single"/>
            <w:rtl w:val="0"/>
          </w:rPr>
          <w:t xml:space="preserve">http://www.ebscohost.com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ebscohost.com" TargetMode="External"/></Relationships>
</file>