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Drewett, P. (2012). </w:t>
      </w:r>
      <w:r w:rsidDel="00000000" w:rsidR="00000000" w:rsidRPr="00000000">
        <w:rPr>
          <w:i w:val="1"/>
          <w:sz w:val="24"/>
          <w:szCs w:val="24"/>
          <w:rtl w:val="0"/>
        </w:rPr>
        <w:t xml:space="preserve">Field archaeology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i w:val="1"/>
          <w:sz w:val="24"/>
          <w:szCs w:val="24"/>
          <w:rtl w:val="0"/>
        </w:rPr>
        <w:t xml:space="preserve">An introduction.</w:t>
      </w:r>
      <w:r w:rsidDel="00000000" w:rsidR="00000000" w:rsidRPr="00000000">
        <w:rPr>
          <w:sz w:val="24"/>
          <w:szCs w:val="24"/>
          <w:rtl w:val="0"/>
        </w:rPr>
        <w:t xml:space="preserve"> London, England: UCL Press.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