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“Higher Education in the Hi-Tech Age: Higher Education Leadership Forum.”</w:t>
      </w:r>
      <w:r w:rsidDel="00000000" w:rsidR="00000000" w:rsidRPr="00000000">
        <w:rPr>
          <w:sz w:val="24"/>
          <w:szCs w:val="24"/>
          <w:rtl w:val="0"/>
        </w:rPr>
        <w:t xml:space="preserve">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The Chronicle of Higher Education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52, no. 16 (2005): 105-107. doi: /1001oi567.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Footnote citation:</w:t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“Higher Education in the Hi-Tech Age: Higher Education Leadership Forum,”</w:t>
      </w:r>
      <w:r w:rsidDel="00000000" w:rsidR="00000000" w:rsidRPr="00000000">
        <w:rPr>
          <w:sz w:val="24"/>
          <w:szCs w:val="24"/>
          <w:rtl w:val="0"/>
        </w:rPr>
        <w:t xml:space="preserve">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The Chronicle of Higher Education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52, no. 16 (2005): 105-107, doi: /1001oi567.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