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Cliff, Amy Fish. “’What Are We Doing Here’: Eastern Cherokee Civil Authorities and Sovereign Territorial Rights.”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American Indian Quarterly 36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no. 2 (2013): 234-269. doi: /1d11d977-389e.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Amy Fish Cliff, “’What Are We Doing Here’: Eastern Cherokee Civil Authorities and Sovereign Territorial Rights,”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American Indian Quarterly 36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no. 2 (2013): 234-269, doi: /1d11d977-389e.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