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Smith, Jane, ed.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Stanford Handbook of Business and the American Press.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New York: Oxford University Press, 2012.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Jane Smith, ed.,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Stanford Handbook of Business and the American Press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(New York: Oxford University Press, 2012), 202.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