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Wiener, P. (2013). Gender issues across the globe. In A. A. Krugman &amp; F. D. Kempe (Eds.),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Gender identity and gender politics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(pp. 134-146). Frankfurt, Germany: Springer.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