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Higgs, Malcolm. “Change and Its Leadership: The Role of Positive Emotions.” In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Oxford Handbook of Positive Psychology and Work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edited by P. Alex Linley, Susan Harrington, and Nicola Garcea, 67-94. New York: Oxford University Press,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Malcolm Higgs, “Change and Its Leadership: The Role of Positive Emotions,” in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Oxford Handbook of Positive Psychology and Work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ed. P. Alex Linley, Susan Harrington, and Nicola Garcea (New York: Oxford University Press, 2013), 67-72.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