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825" w:hanging="855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Middleton, Jane. "Southeast States Trivia Treasure Hunt."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Deceptively Educational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(web log), March 13, 2015.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http://deceptivelyeducational.blogspot.com/2015/03/southeast-states-trivia-treasure-hunt.html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Jane Middleton, "Southeast States Trivia Treasure Hunt,"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Deceptively Educational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(web log), March 13, 2015,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http://deceptivelyeducational.blogspot.com/2015/03/southeast-states-trivia-treasure-hunt.html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