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14.0000000000002" w:hanging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Baldwin, D. S., Anderson, I. M., Nutt, D. J., Allgulander, C., Bandelow, B., den Boer, J. A.,...Malizia, A. (2014). Evidence-based pharmacological treatment of anxiety disorders, post-traumatic stress disorder and obsessive-compulsive disorder: A revision of the 2005 guidelines from the British Association for Psychopharmacology. </w:t>
      </w:r>
      <w:r w:rsidDel="00000000" w:rsidR="00000000" w:rsidRPr="00000000">
        <w:rPr>
          <w:i w:val="1"/>
          <w:sz w:val="24"/>
          <w:szCs w:val="24"/>
          <w:rtl w:val="0"/>
        </w:rPr>
        <w:t xml:space="preserve">Journal of Psychopharmacology</w:t>
      </w:r>
      <w:r w:rsidDel="00000000" w:rsidR="00000000" w:rsidRPr="00000000">
        <w:rPr>
          <w:sz w:val="24"/>
          <w:szCs w:val="24"/>
          <w:rtl w:val="0"/>
        </w:rPr>
        <w:t xml:space="preserve">, </w:t>
      </w:r>
      <w:r w:rsidDel="00000000" w:rsidR="00000000" w:rsidRPr="00000000">
        <w:rPr>
          <w:i w:val="1"/>
          <w:sz w:val="24"/>
          <w:szCs w:val="24"/>
          <w:rtl w:val="0"/>
        </w:rPr>
        <w:t xml:space="preserve">28</w:t>
      </w:r>
      <w:r w:rsidDel="00000000" w:rsidR="00000000" w:rsidRPr="00000000">
        <w:rPr>
          <w:sz w:val="24"/>
          <w:szCs w:val="24"/>
          <w:rtl w:val="0"/>
        </w:rPr>
        <w:t xml:space="preserve">(5), 403-439. https://doi.org/10.1177/0269881114525674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