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Davies, David. "From the Further Education Margins to the Higher Education Centre? Innovation in Continuing Education."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Education Training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39, no. 1 (1997): 4-13.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David Davies, "From the Further Education Margins to the Higher Education Centre? Innovation in Continuing Education,"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Education Training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39, no. 1 (1997):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